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0B5" w:rsidRPr="00DA40B5" w:rsidRDefault="00DA40B5" w:rsidP="00DA40B5">
      <w:pPr>
        <w:shd w:val="clear" w:color="auto" w:fill="FFFFFF"/>
        <w:spacing w:before="300" w:after="150" w:line="240" w:lineRule="auto"/>
        <w:ind w:right="-284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b/>
          <w:sz w:val="40"/>
          <w:szCs w:val="28"/>
          <w:lang w:eastAsia="ru-RU"/>
        </w:rPr>
        <w:t>Материнский капитал проиндексируют в 2020 году</w:t>
      </w:r>
    </w:p>
    <w:p w:rsidR="00DA40B5" w:rsidRPr="00DA40B5" w:rsidRDefault="00DA40B5" w:rsidP="00DA40B5">
      <w:pPr>
        <w:shd w:val="clear" w:color="auto" w:fill="FFFFFF"/>
        <w:spacing w:after="150" w:line="375" w:lineRule="atLeast"/>
        <w:ind w:left="-284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основных характеристиках бюджета Пенсионного фонда России заложены расходы на продление программы материнского капитала. В 2019 году размер </w:t>
      </w:r>
      <w:proofErr w:type="spellStart"/>
      <w:r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маткапитала</w:t>
      </w:r>
      <w:proofErr w:type="spellEnd"/>
      <w:r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сохранен и составит 453 026 рублей. С 2020 года предусмотрено возобновление индексации средств материнского капитала в соответствии с фактическим уровнем инфляции за предыдущий год.</w:t>
      </w:r>
      <w:bookmarkStart w:id="0" w:name="_GoBack"/>
      <w:bookmarkEnd w:id="0"/>
    </w:p>
    <w:p w:rsidR="00F03D33" w:rsidRPr="00DA40B5" w:rsidRDefault="00F03D33">
      <w:pPr>
        <w:rPr>
          <w:rFonts w:ascii="Times New Roman" w:hAnsi="Times New Roman" w:cs="Times New Roman"/>
          <w:sz w:val="28"/>
          <w:szCs w:val="28"/>
        </w:rPr>
      </w:pPr>
    </w:p>
    <w:sectPr w:rsidR="00F03D33" w:rsidRPr="00DA4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01B"/>
    <w:rsid w:val="00B2201B"/>
    <w:rsid w:val="00DA40B5"/>
    <w:rsid w:val="00F0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A40B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A40B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DA4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A40B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A40B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DA4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02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Company>SPecialiST RePack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2019-08-28T11:51:00Z</dcterms:created>
  <dcterms:modified xsi:type="dcterms:W3CDTF">2019-08-28T11:51:00Z</dcterms:modified>
</cp:coreProperties>
</file>