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D7" w:rsidRDefault="00DA342B">
      <w:pPr>
        <w:rPr>
          <w:sz w:val="40"/>
          <w:szCs w:val="40"/>
        </w:rPr>
      </w:pPr>
      <w:r w:rsidRPr="00E34ECC">
        <w:rPr>
          <w:sz w:val="40"/>
          <w:szCs w:val="40"/>
        </w:rPr>
        <w:t>Как приумножить пенсионные накопления? Следите за доходностью своего страховщика. У «молчунов» накопления формируются в государственной управляющей компании «Внешэкономбанк», по итогам 2017 года доходность расширенного портфеля составила 8,6%. У частных управляющих компаний – 10,7%. Совокупная рассчитанная доходность негосударственных пенсионных фондов – 3,2%. Если вы забыли, кто является страховщиком, формирующим ваши пенсионные накопления, проверить это можно в Личном кабинете ПФР</w:t>
      </w:r>
    </w:p>
    <w:p w:rsidR="0003451B" w:rsidRPr="005857D7" w:rsidRDefault="005857D7" w:rsidP="005857D7">
      <w:pPr>
        <w:tabs>
          <w:tab w:val="left" w:pos="3489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965829"/>
            <wp:effectExtent l="0" t="0" r="3175" b="0"/>
            <wp:docPr id="1" name="Рисунок 1" descr="C:\ЛукинаМ\Лукина\2018\ЕЖЕМЕСЯЧНЫЕ ОТЧЕТЫ\СМИ\для размещ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укинаМ\Лукина\2018\ЕЖЕМЕСЯЧНЫЕ ОТЧЕТЫ\СМИ\для размещ\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51B" w:rsidRPr="00585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42B"/>
    <w:rsid w:val="0003451B"/>
    <w:rsid w:val="005857D7"/>
    <w:rsid w:val="00DA342B"/>
    <w:rsid w:val="00E3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2018-05-29T11:46:00Z</dcterms:created>
  <dcterms:modified xsi:type="dcterms:W3CDTF">2018-05-29T11:46:00Z</dcterms:modified>
</cp:coreProperties>
</file>