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05" w:rsidRPr="00A74705" w:rsidRDefault="00F506A0" w:rsidP="00A74705">
      <w:pPr>
        <w:jc w:val="center"/>
        <w:rPr>
          <w:b/>
          <w:color w:val="0070C0"/>
          <w:sz w:val="56"/>
          <w:szCs w:val="56"/>
        </w:rPr>
      </w:pPr>
      <w:r w:rsidRPr="00A74705">
        <w:rPr>
          <w:b/>
          <w:noProof/>
          <w:color w:val="0070C0"/>
          <w:sz w:val="56"/>
          <w:szCs w:val="56"/>
          <w:lang w:eastAsia="ru-RU"/>
        </w:rPr>
        <mc:AlternateContent>
          <mc:Choice Requires="wps">
            <w:drawing>
              <wp:inline distT="0" distB="0" distL="0" distR="0" wp14:anchorId="14378267" wp14:editId="30927566">
                <wp:extent cx="302895" cy="302895"/>
                <wp:effectExtent l="0" t="0" r="0" b="0"/>
                <wp:docPr id="3" name="Прямоугольник 3" descr="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🔵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" filled="f" stroked="f">
                <o:lock v:ext="edit" aspectratio="t"/>
                <w10:anchorlock/>
              </v:rect>
            </w:pict>
          </mc:Fallback>
        </mc:AlternateContent>
      </w:r>
      <w:r w:rsidR="00A74705" w:rsidRPr="00A74705">
        <w:rPr>
          <w:b/>
          <w:color w:val="0070C0"/>
          <w:sz w:val="56"/>
          <w:szCs w:val="56"/>
        </w:rPr>
        <w:t>зарплат</w:t>
      </w:r>
      <w:r w:rsidR="00A74705" w:rsidRPr="00A74705">
        <w:rPr>
          <w:b/>
          <w:color w:val="0070C0"/>
          <w:sz w:val="56"/>
          <w:szCs w:val="56"/>
        </w:rPr>
        <w:t>а</w:t>
      </w:r>
      <w:r w:rsidR="00A74705" w:rsidRPr="00A74705">
        <w:rPr>
          <w:b/>
          <w:color w:val="0070C0"/>
          <w:sz w:val="56"/>
          <w:szCs w:val="56"/>
        </w:rPr>
        <w:t xml:space="preserve"> «в конверте»</w:t>
      </w:r>
    </w:p>
    <w:p w:rsidR="00DE4A1D" w:rsidRPr="00A74705" w:rsidRDefault="00F506A0" w:rsidP="00A74705">
      <w:pPr>
        <w:jc w:val="both"/>
        <w:rPr>
          <w:sz w:val="32"/>
          <w:szCs w:val="32"/>
        </w:rPr>
      </w:pPr>
      <w:bookmarkStart w:id="0" w:name="_GoBack"/>
      <w:r w:rsidRPr="00A74705">
        <w:rPr>
          <w:sz w:val="32"/>
          <w:szCs w:val="32"/>
        </w:rPr>
        <w:t xml:space="preserve">Если Вы получаете зарплату «в конверте», то принимаете на себя риски и негативные последствия для Вашей будущей пенсии. Получатели зарплаты «в конверте» теряют право на достойную пенсию, социальные гарантии, получение кредита (ипотеки) и получение полного налогового вычета. </w:t>
      </w:r>
      <w:r w:rsidRPr="00A74705">
        <w:rPr>
          <w:sz w:val="32"/>
          <w:szCs w:val="32"/>
        </w:rPr>
        <w:br/>
      </w:r>
      <w:r w:rsidRPr="00A74705">
        <w:rPr>
          <w:sz w:val="32"/>
          <w:szCs w:val="32"/>
        </w:rPr>
        <w:br/>
      </w:r>
      <w:r w:rsidRPr="00A74705">
        <w:rPr>
          <w:noProof/>
          <w:sz w:val="32"/>
          <w:szCs w:val="32"/>
          <w:lang w:eastAsia="ru-RU"/>
        </w:rPr>
        <w:drawing>
          <wp:inline distT="0" distB="0" distL="0" distR="0" wp14:anchorId="75C8455E" wp14:editId="1F1A13CC">
            <wp:extent cx="151130" cy="151130"/>
            <wp:effectExtent l="0" t="0" r="1270" b="1270"/>
            <wp:docPr id="2" name="Рисунок 2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705">
        <w:rPr>
          <w:sz w:val="32"/>
          <w:szCs w:val="32"/>
        </w:rPr>
        <w:t xml:space="preserve">Проверить состояние Вашего индивидуального лицевого счета можно в личном кабинете на сайте ПФР </w:t>
      </w:r>
      <w:hyperlink r:id="rId6" w:tgtFrame="_blank" w:history="1">
        <w:r w:rsidRPr="00A74705">
          <w:rPr>
            <w:rStyle w:val="a3"/>
            <w:sz w:val="32"/>
            <w:szCs w:val="32"/>
          </w:rPr>
          <w:t>https://es.pfrf.ru/</w:t>
        </w:r>
      </w:hyperlink>
      <w:r w:rsidRPr="00A74705">
        <w:rPr>
          <w:sz w:val="32"/>
          <w:szCs w:val="32"/>
        </w:rPr>
        <w:t xml:space="preserve">, а также через клиентскую службу территориальных органов ПФР. </w:t>
      </w:r>
      <w:r w:rsidRPr="00A74705">
        <w:rPr>
          <w:sz w:val="32"/>
          <w:szCs w:val="32"/>
        </w:rPr>
        <w:br/>
      </w:r>
      <w:r w:rsidRPr="00A74705">
        <w:rPr>
          <w:sz w:val="32"/>
          <w:szCs w:val="32"/>
        </w:rPr>
        <w:br/>
      </w:r>
      <w:r w:rsidRPr="00A74705">
        <w:rPr>
          <w:noProof/>
          <w:sz w:val="32"/>
          <w:szCs w:val="32"/>
          <w:lang w:eastAsia="ru-RU"/>
        </w:rPr>
        <w:drawing>
          <wp:inline distT="0" distB="0" distL="0" distR="0" wp14:anchorId="46763B45" wp14:editId="40CCAED1">
            <wp:extent cx="151130" cy="151130"/>
            <wp:effectExtent l="0" t="0" r="1270" b="1270"/>
            <wp:docPr id="1" name="Рисунок 1" descr="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📎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" cy="151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74705">
        <w:rPr>
          <w:sz w:val="32"/>
          <w:szCs w:val="32"/>
        </w:rPr>
        <w:t xml:space="preserve">Узнать, как рассчитывается Ваша будущая пенсия, Вы можете на сайте ПФР: </w:t>
      </w:r>
      <w:hyperlink r:id="rId7" w:tgtFrame="_blank" w:tooltip="http://www.pfrf.ru/grazdanam/pensions/kak_form_bud_pens/" w:history="1">
        <w:r w:rsidRPr="00A74705">
          <w:rPr>
            <w:rStyle w:val="a3"/>
            <w:sz w:val="32"/>
            <w:szCs w:val="32"/>
          </w:rPr>
          <w:t>http://www.pfrf.ru/grazdanam/pensions/kak_form_bud_pe..</w:t>
        </w:r>
      </w:hyperlink>
      <w:r w:rsidRPr="00A74705">
        <w:rPr>
          <w:sz w:val="32"/>
          <w:szCs w:val="32"/>
        </w:rPr>
        <w:t>.</w:t>
      </w:r>
      <w:bookmarkEnd w:id="0"/>
    </w:p>
    <w:sectPr w:rsidR="00DE4A1D" w:rsidRPr="00A74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6A0"/>
    <w:rsid w:val="00A74705"/>
    <w:rsid w:val="00DE4A1D"/>
    <w:rsid w:val="00F50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6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06A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50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50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k.com/away.php?to=http%3A%2F%2Fwww.pfrf.ru%2Fgrazdanam%2Fpensions%2Fkak_form_bud_pens%2F&amp;post=-88770289_5543&amp;cc_key=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es.pfrf.ru%2F&amp;post=-88770289_5543&amp;cc_key=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2018-07-18T12:46:00Z</dcterms:created>
  <dcterms:modified xsi:type="dcterms:W3CDTF">2018-07-18T12:47:00Z</dcterms:modified>
</cp:coreProperties>
</file>